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A54E" w14:textId="77777777" w:rsidR="0042319B" w:rsidRDefault="0042319B" w:rsidP="0075197B">
      <w:pPr>
        <w:pStyle w:val="Heading1"/>
        <w:spacing w:before="0" w:after="0"/>
        <w:jc w:val="center"/>
      </w:pPr>
      <w:r>
        <w:t>Concept Note</w:t>
      </w:r>
    </w:p>
    <w:p w14:paraId="16A18332" w14:textId="3AD16556" w:rsidR="0042319B" w:rsidRDefault="0042319B" w:rsidP="0075197B">
      <w:pPr>
        <w:pStyle w:val="Heading1"/>
        <w:spacing w:before="0" w:after="0"/>
        <w:jc w:val="center"/>
      </w:pPr>
      <w:r>
        <w:t xml:space="preserve">Industrial Hemp: </w:t>
      </w:r>
      <w:r w:rsidR="0075197B">
        <w:t>A</w:t>
      </w:r>
      <w:r>
        <w:t>n Old Crop in a Modern Era</w:t>
      </w:r>
    </w:p>
    <w:p w14:paraId="4D32D12E" w14:textId="77777777" w:rsidR="0042319B" w:rsidRDefault="0042319B" w:rsidP="0042319B"/>
    <w:p w14:paraId="318FBE82" w14:textId="77777777" w:rsidR="0042319B" w:rsidRPr="0075197B" w:rsidRDefault="0042319B" w:rsidP="0075197B">
      <w:pPr>
        <w:jc w:val="center"/>
        <w:rPr>
          <w:i/>
          <w:iCs/>
        </w:rPr>
      </w:pPr>
      <w:r w:rsidRPr="0075197B">
        <w:rPr>
          <w:i/>
          <w:iCs/>
        </w:rPr>
        <w:t>High-Level, Invitation-Only Roundtable</w:t>
      </w:r>
    </w:p>
    <w:p w14:paraId="728C512C" w14:textId="77777777" w:rsidR="0042319B" w:rsidRPr="0075197B" w:rsidRDefault="0042319B" w:rsidP="0075197B">
      <w:pPr>
        <w:jc w:val="center"/>
        <w:rPr>
          <w:i/>
          <w:iCs/>
        </w:rPr>
      </w:pPr>
      <w:r w:rsidRPr="0075197B">
        <w:rPr>
          <w:i/>
          <w:iCs/>
        </w:rPr>
        <w:t>21 April 2026 | Cinnamon Grand Hotel, Colombo, Sri Lanka</w:t>
      </w:r>
    </w:p>
    <w:p w14:paraId="61522DA6" w14:textId="0AFDCF12" w:rsidR="0042319B" w:rsidRPr="0075197B" w:rsidRDefault="0042319B" w:rsidP="0075197B">
      <w:pPr>
        <w:jc w:val="center"/>
        <w:rPr>
          <w:i/>
          <w:iCs/>
        </w:rPr>
      </w:pPr>
      <w:r w:rsidRPr="0075197B">
        <w:rPr>
          <w:i/>
          <w:iCs/>
        </w:rPr>
        <w:t>09</w:t>
      </w:r>
      <w:r w:rsidRPr="0075197B">
        <w:rPr>
          <w:i/>
          <w:iCs/>
        </w:rPr>
        <w:t>.30 a.m. – 12.30 p.m. (Optional working lunch to follow)</w:t>
      </w:r>
    </w:p>
    <w:p w14:paraId="61BFAFE8" w14:textId="77777777" w:rsidR="0042319B" w:rsidRDefault="0042319B" w:rsidP="0042319B"/>
    <w:p w14:paraId="00161B44" w14:textId="0842AA35" w:rsidR="0042319B" w:rsidRDefault="0042319B" w:rsidP="0075197B">
      <w:pPr>
        <w:pStyle w:val="Heading2"/>
        <w:spacing w:before="0" w:after="0"/>
      </w:pPr>
      <w:r>
        <w:t>1. Background and Rationale</w:t>
      </w:r>
    </w:p>
    <w:p w14:paraId="6B20BD84" w14:textId="3E4E23AD" w:rsidR="0042319B" w:rsidRDefault="0042319B" w:rsidP="0042319B">
      <w:r>
        <w:t xml:space="preserve">Sri Lanka stands at a critical juncture. In the wake of Cyclone </w:t>
      </w:r>
      <w:proofErr w:type="spellStart"/>
      <w:r>
        <w:t>Ditwah</w:t>
      </w:r>
      <w:proofErr w:type="spellEnd"/>
      <w:r>
        <w:t xml:space="preserve"> and amid ongoing economic and structural challenges, there is an urgent need to identify scalable, inclusive, and resilient pathways for recovery and long-term development. At the same time, global imperatives linked to climate action, sustainable development, and supply chain transformation </w:t>
      </w:r>
      <w:r w:rsidR="0075197B">
        <w:t>is</w:t>
      </w:r>
      <w:r>
        <w:t xml:space="preserve"> reshaping markets and investment priorities.</w:t>
      </w:r>
    </w:p>
    <w:p w14:paraId="62136B89" w14:textId="77777777" w:rsidR="0042319B" w:rsidRDefault="0042319B" w:rsidP="0042319B"/>
    <w:p w14:paraId="1E1154B1" w14:textId="48E8AE3F" w:rsidR="0042319B" w:rsidRDefault="0042319B" w:rsidP="0042319B">
      <w:r>
        <w:t xml:space="preserve">Industrial hemp presents a compelling opportunity at this intersection. As highlighted in UNCTAD’s </w:t>
      </w:r>
      <w:hyperlink r:id="rId5" w:history="1">
        <w:r w:rsidRPr="00B80E69">
          <w:rPr>
            <w:rStyle w:val="Hyperlink"/>
          </w:rPr>
          <w:t>Commodities at a Glance: Special Issue on Industrial Hemp</w:t>
        </w:r>
      </w:hyperlink>
      <w:r>
        <w:t xml:space="preserve"> (2022) and </w:t>
      </w:r>
      <w:hyperlink r:id="rId6" w:history="1">
        <w:r w:rsidRPr="00B80E69">
          <w:rPr>
            <w:rStyle w:val="Hyperlink"/>
          </w:rPr>
          <w:t>Policy Brief No. 110</w:t>
        </w:r>
      </w:hyperlink>
      <w:r>
        <w:t xml:space="preserve"> (2023), hemp is a versatile, multipurpose crop with the potential to contribute to carbon-negative value chains, rural development, and industrial diversification through a “whole plant” approach. However, realising this potential requires clear regulatory frameworks, investment-ready value chains, and coordinated action across sectors.</w:t>
      </w:r>
    </w:p>
    <w:p w14:paraId="19EACFB0" w14:textId="77777777" w:rsidR="0042319B" w:rsidRDefault="0042319B" w:rsidP="0042319B"/>
    <w:p w14:paraId="6498E07F" w14:textId="12DA3C67" w:rsidR="0042319B" w:rsidRDefault="0042319B" w:rsidP="0042319B">
      <w:r>
        <w:t xml:space="preserve">This roundtable is convened within the broader framework of </w:t>
      </w:r>
      <w:hyperlink r:id="rId7" w:history="1">
        <w:r w:rsidRPr="00B80E69">
          <w:rPr>
            <w:rStyle w:val="Hyperlink"/>
          </w:rPr>
          <w:t>the Global Rethinking Finance Collaborative (GRFC)</w:t>
        </w:r>
      </w:hyperlink>
      <w:r>
        <w:t>, a Geneva-based, globally networked initiative working to unlock finance for regenerative and inclusive development at scale by bridging policy, finance, and implementation.</w:t>
      </w:r>
    </w:p>
    <w:p w14:paraId="0F4A48F4" w14:textId="77777777" w:rsidR="0042319B" w:rsidRDefault="0042319B" w:rsidP="0042319B"/>
    <w:p w14:paraId="7B8B8ABB" w14:textId="7C545DD8" w:rsidR="0042319B" w:rsidRDefault="0042319B" w:rsidP="0075197B">
      <w:pPr>
        <w:pStyle w:val="Heading2"/>
        <w:spacing w:before="0" w:after="0"/>
      </w:pPr>
      <w:r>
        <w:t>2. Purpose and Objectives</w:t>
      </w:r>
    </w:p>
    <w:p w14:paraId="33562DC2" w14:textId="56BB66FB" w:rsidR="0042319B" w:rsidRDefault="0042319B" w:rsidP="0042319B">
      <w:r>
        <w:t>The roundtable aims to support the Government of Sri Lanka and its partners in exploring how industrial hemp can contribute to a future-fit, inclusive, and environmentally responsible development pathway</w:t>
      </w:r>
      <w:r w:rsidR="0075197B">
        <w:t>s</w:t>
      </w:r>
      <w:r>
        <w:t>.</w:t>
      </w:r>
    </w:p>
    <w:p w14:paraId="0C262ED7" w14:textId="77777777" w:rsidR="0042319B" w:rsidRDefault="0042319B" w:rsidP="0042319B"/>
    <w:p w14:paraId="2FDFACE6" w14:textId="77777777" w:rsidR="0042319B" w:rsidRDefault="0042319B" w:rsidP="0042319B">
      <w:r>
        <w:t>The specific objectives are to:</w:t>
      </w:r>
    </w:p>
    <w:p w14:paraId="0968E15B" w14:textId="69CE0A05" w:rsidR="0042319B" w:rsidRDefault="0042319B" w:rsidP="0075197B">
      <w:pPr>
        <w:pStyle w:val="ListParagraph"/>
        <w:numPr>
          <w:ilvl w:val="0"/>
          <w:numId w:val="1"/>
        </w:numPr>
      </w:pPr>
      <w:r>
        <w:t xml:space="preserve">Inform policy through global evidence and practical </w:t>
      </w:r>
      <w:proofErr w:type="gramStart"/>
      <w:r>
        <w:t>experience;</w:t>
      </w:r>
      <w:proofErr w:type="gramEnd"/>
    </w:p>
    <w:p w14:paraId="179A1A21" w14:textId="77777777" w:rsidR="0042319B" w:rsidRDefault="0042319B" w:rsidP="0075197B">
      <w:pPr>
        <w:pStyle w:val="ListParagraph"/>
        <w:numPr>
          <w:ilvl w:val="0"/>
          <w:numId w:val="1"/>
        </w:numPr>
      </w:pPr>
      <w:r>
        <w:t xml:space="preserve">Identify regulatory, financial, and operational barriers to sector </w:t>
      </w:r>
      <w:proofErr w:type="gramStart"/>
      <w:r>
        <w:t>development;</w:t>
      </w:r>
      <w:proofErr w:type="gramEnd"/>
    </w:p>
    <w:p w14:paraId="0DE93510" w14:textId="77777777" w:rsidR="0042319B" w:rsidRDefault="0042319B" w:rsidP="0075197B">
      <w:pPr>
        <w:pStyle w:val="ListParagraph"/>
        <w:numPr>
          <w:ilvl w:val="0"/>
          <w:numId w:val="1"/>
        </w:numPr>
      </w:pPr>
      <w:r>
        <w:t xml:space="preserve">Explore pathways for enabling investment and value chain </w:t>
      </w:r>
      <w:proofErr w:type="gramStart"/>
      <w:r>
        <w:t>development;</w:t>
      </w:r>
      <w:proofErr w:type="gramEnd"/>
    </w:p>
    <w:p w14:paraId="46A56ED2" w14:textId="01427A3A" w:rsidR="0042319B" w:rsidRDefault="0042319B" w:rsidP="0075197B">
      <w:pPr>
        <w:pStyle w:val="ListParagraph"/>
        <w:numPr>
          <w:ilvl w:val="0"/>
          <w:numId w:val="1"/>
        </w:numPr>
      </w:pPr>
      <w:r>
        <w:t>Catalyse alignment among key stakeholders;</w:t>
      </w:r>
      <w:r w:rsidR="0075197B">
        <w:t xml:space="preserve"> and</w:t>
      </w:r>
    </w:p>
    <w:p w14:paraId="5AC920BE" w14:textId="5399371E" w:rsidR="0042319B" w:rsidRDefault="0042319B" w:rsidP="0075197B">
      <w:pPr>
        <w:pStyle w:val="ListParagraph"/>
        <w:numPr>
          <w:ilvl w:val="0"/>
          <w:numId w:val="1"/>
        </w:numPr>
      </w:pPr>
      <w:r>
        <w:t>Define actionable next steps toward policy development, project preparation, and resource mobilisation.</w:t>
      </w:r>
    </w:p>
    <w:p w14:paraId="509DA69A" w14:textId="77777777" w:rsidR="0042319B" w:rsidRDefault="0042319B" w:rsidP="0042319B"/>
    <w:p w14:paraId="3346EA4F" w14:textId="7DB211BC" w:rsidR="0042319B" w:rsidRPr="0042319B" w:rsidRDefault="0042319B" w:rsidP="0075197B">
      <w:pPr>
        <w:pStyle w:val="Heading2"/>
        <w:spacing w:before="0" w:after="0"/>
        <w:rPr>
          <w:lang w:val="en-CH"/>
        </w:rPr>
      </w:pPr>
      <w:r w:rsidRPr="0042319B">
        <w:rPr>
          <w:lang w:val="en-CH"/>
        </w:rPr>
        <w:t>3. Programme Overview</w:t>
      </w:r>
    </w:p>
    <w:p w14:paraId="4297A760" w14:textId="77777777" w:rsidR="0042319B" w:rsidRPr="0042319B" w:rsidRDefault="0042319B" w:rsidP="0042319B">
      <w:pPr>
        <w:rPr>
          <w:lang w:val="en-CH"/>
        </w:rPr>
      </w:pPr>
      <w:r w:rsidRPr="0042319B">
        <w:rPr>
          <w:lang w:val="en-CH"/>
        </w:rPr>
        <w:t>The roundtable will be structured to move from evidence and global insights to practical experience and forward-looking discussion.</w:t>
      </w:r>
    </w:p>
    <w:p w14:paraId="4EFCDD13" w14:textId="77777777" w:rsidR="0042319B" w:rsidRPr="0042319B" w:rsidRDefault="0042319B" w:rsidP="0042319B">
      <w:pPr>
        <w:rPr>
          <w:lang w:val="en-CH"/>
        </w:rPr>
      </w:pPr>
    </w:p>
    <w:p w14:paraId="55B9FB84" w14:textId="77777777" w:rsidR="0042319B" w:rsidRPr="0042319B" w:rsidRDefault="0042319B" w:rsidP="0042319B">
      <w:pPr>
        <w:rPr>
          <w:lang w:val="en-CH"/>
        </w:rPr>
      </w:pPr>
      <w:r w:rsidRPr="0042319B">
        <w:rPr>
          <w:lang w:val="en-CH"/>
        </w:rPr>
        <w:t>The programme includes:</w:t>
      </w:r>
    </w:p>
    <w:p w14:paraId="4D6B3633" w14:textId="77777777" w:rsidR="0075197B" w:rsidRDefault="0042319B" w:rsidP="0042319B">
      <w:pPr>
        <w:pStyle w:val="ListParagraph"/>
        <w:numPr>
          <w:ilvl w:val="0"/>
          <w:numId w:val="2"/>
        </w:numPr>
        <w:rPr>
          <w:lang w:val="en-CH"/>
        </w:rPr>
      </w:pPr>
      <w:r w:rsidRPr="0075197B">
        <w:rPr>
          <w:lang w:val="en-CH"/>
        </w:rPr>
        <w:lastRenderedPageBreak/>
        <w:t xml:space="preserve">Opening remarks from </w:t>
      </w:r>
      <w:r w:rsidR="0075197B">
        <w:rPr>
          <w:lang w:val="en-CH"/>
        </w:rPr>
        <w:t xml:space="preserve">the </w:t>
      </w:r>
      <w:r w:rsidRPr="0075197B">
        <w:rPr>
          <w:lang w:val="en-CH"/>
        </w:rPr>
        <w:t>GRFC, Incitare Sri Lanka, UNDP, and the Government of Sri Lanka;</w:t>
      </w:r>
    </w:p>
    <w:p w14:paraId="3C4C557B" w14:textId="77777777" w:rsidR="0075197B" w:rsidRDefault="0042319B" w:rsidP="0042319B">
      <w:pPr>
        <w:pStyle w:val="ListParagraph"/>
        <w:numPr>
          <w:ilvl w:val="0"/>
          <w:numId w:val="2"/>
        </w:numPr>
        <w:rPr>
          <w:lang w:val="en-CH"/>
        </w:rPr>
      </w:pPr>
      <w:r w:rsidRPr="0075197B">
        <w:rPr>
          <w:lang w:val="en-CH"/>
        </w:rPr>
        <w:t>A keynote address by a leading UNCTAD expert on industrial hemp;</w:t>
      </w:r>
    </w:p>
    <w:p w14:paraId="6977EE49" w14:textId="77777777" w:rsidR="0075197B" w:rsidRDefault="0042319B" w:rsidP="0042319B">
      <w:pPr>
        <w:pStyle w:val="ListParagraph"/>
        <w:numPr>
          <w:ilvl w:val="0"/>
          <w:numId w:val="2"/>
        </w:numPr>
        <w:rPr>
          <w:lang w:val="en-CH"/>
        </w:rPr>
      </w:pPr>
      <w:r w:rsidRPr="0075197B">
        <w:rPr>
          <w:lang w:val="en-CH"/>
        </w:rPr>
        <w:t>Two expert panels bringing together scientific, entrepreneurial, policy, and financing perspectives;</w:t>
      </w:r>
    </w:p>
    <w:p w14:paraId="202494BB" w14:textId="77777777" w:rsidR="0075197B" w:rsidRDefault="0042319B" w:rsidP="0042319B">
      <w:pPr>
        <w:pStyle w:val="ListParagraph"/>
        <w:numPr>
          <w:ilvl w:val="0"/>
          <w:numId w:val="2"/>
        </w:numPr>
        <w:rPr>
          <w:lang w:val="en-CH"/>
        </w:rPr>
      </w:pPr>
      <w:r w:rsidRPr="0075197B">
        <w:rPr>
          <w:lang w:val="en-CH"/>
        </w:rPr>
        <w:t>Facilitated discussion to capture priorities and identify pathways forward;</w:t>
      </w:r>
      <w:r w:rsidR="0075197B">
        <w:rPr>
          <w:lang w:val="en-CH"/>
        </w:rPr>
        <w:t xml:space="preserve"> and</w:t>
      </w:r>
    </w:p>
    <w:p w14:paraId="67FEBD56" w14:textId="6BB52A4C" w:rsidR="0042319B" w:rsidRPr="0075197B" w:rsidRDefault="0042319B" w:rsidP="0042319B">
      <w:pPr>
        <w:pStyle w:val="ListParagraph"/>
        <w:numPr>
          <w:ilvl w:val="0"/>
          <w:numId w:val="2"/>
        </w:numPr>
        <w:rPr>
          <w:lang w:val="en-CH"/>
        </w:rPr>
      </w:pPr>
      <w:r w:rsidRPr="0075197B">
        <w:rPr>
          <w:lang w:val="en-CH"/>
        </w:rPr>
        <w:t>A structured closing session to outline next steps.</w:t>
      </w:r>
    </w:p>
    <w:p w14:paraId="32B26F39" w14:textId="77777777" w:rsidR="0042319B" w:rsidRPr="0042319B" w:rsidRDefault="0042319B" w:rsidP="0042319B">
      <w:pPr>
        <w:rPr>
          <w:lang w:val="en-CH"/>
        </w:rPr>
      </w:pPr>
    </w:p>
    <w:p w14:paraId="587E7FE0" w14:textId="0261B587" w:rsidR="0042319B" w:rsidRDefault="0042319B" w:rsidP="0042319B">
      <w:pPr>
        <w:rPr>
          <w:lang w:val="en-CH"/>
        </w:rPr>
      </w:pPr>
      <w:r w:rsidRPr="0042319B">
        <w:rPr>
          <w:lang w:val="en-CH"/>
        </w:rPr>
        <w:t>The design of the programme reflects the GRFC’s commitment to translating knowledge into action, ensuring that discussions are grounded in both global evidence and real-world implementation experience.</w:t>
      </w:r>
    </w:p>
    <w:p w14:paraId="6516DAC0" w14:textId="77777777" w:rsidR="0042319B" w:rsidRDefault="0042319B" w:rsidP="0042319B">
      <w:pPr>
        <w:rPr>
          <w:lang w:val="en-CH"/>
        </w:rPr>
      </w:pPr>
    </w:p>
    <w:p w14:paraId="7F86DB82" w14:textId="057D40A0" w:rsidR="0042319B" w:rsidRPr="0042319B" w:rsidRDefault="0042319B" w:rsidP="0075197B">
      <w:pPr>
        <w:pStyle w:val="Heading2"/>
        <w:spacing w:before="0" w:after="0"/>
        <w:rPr>
          <w:lang w:val="en-CH"/>
        </w:rPr>
      </w:pPr>
      <w:r w:rsidRPr="0042319B">
        <w:rPr>
          <w:lang w:val="en-CH"/>
        </w:rPr>
        <w:t>4. Strategic Framing: From Dialogue to Delivery</w:t>
      </w:r>
    </w:p>
    <w:p w14:paraId="73A00E9F" w14:textId="77777777" w:rsidR="0042319B" w:rsidRPr="0042319B" w:rsidRDefault="0042319B" w:rsidP="0042319B">
      <w:pPr>
        <w:rPr>
          <w:lang w:val="en-CH"/>
        </w:rPr>
      </w:pPr>
      <w:r w:rsidRPr="0042319B">
        <w:rPr>
          <w:lang w:val="en-CH"/>
        </w:rPr>
        <w:t>This roundtable reflects the GRFC’s core approach of moving from dialogue to implementation at speed and at scale.</w:t>
      </w:r>
    </w:p>
    <w:p w14:paraId="5E5DE877" w14:textId="77777777" w:rsidR="0042319B" w:rsidRPr="0042319B" w:rsidRDefault="0042319B" w:rsidP="0042319B">
      <w:pPr>
        <w:rPr>
          <w:lang w:val="en-CH"/>
        </w:rPr>
      </w:pPr>
    </w:p>
    <w:p w14:paraId="081834DE" w14:textId="366A8BCC" w:rsidR="0042319B" w:rsidRPr="0042319B" w:rsidRDefault="0042319B" w:rsidP="0042319B">
      <w:pPr>
        <w:rPr>
          <w:lang w:val="en-CH"/>
        </w:rPr>
      </w:pPr>
      <w:r w:rsidRPr="0042319B">
        <w:rPr>
          <w:lang w:val="en-CH"/>
        </w:rPr>
        <w:t>Industrial hemp is positioned not as a niche sector, but as a systems-level catalyst capable of contributing to:</w:t>
      </w:r>
    </w:p>
    <w:p w14:paraId="23B0EB43" w14:textId="77777777" w:rsidR="0042319B" w:rsidRPr="0075197B" w:rsidRDefault="0042319B" w:rsidP="0075197B">
      <w:pPr>
        <w:pStyle w:val="ListParagraph"/>
        <w:numPr>
          <w:ilvl w:val="0"/>
          <w:numId w:val="3"/>
        </w:numPr>
        <w:rPr>
          <w:lang w:val="en-CH"/>
        </w:rPr>
      </w:pPr>
      <w:r w:rsidRPr="0075197B">
        <w:rPr>
          <w:lang w:val="en-CH"/>
        </w:rPr>
        <w:t>Climate adaptation and disaster risk reduction;</w:t>
      </w:r>
    </w:p>
    <w:p w14:paraId="553E2F2C" w14:textId="77777777" w:rsidR="0042319B" w:rsidRPr="0075197B" w:rsidRDefault="0042319B" w:rsidP="0075197B">
      <w:pPr>
        <w:pStyle w:val="ListParagraph"/>
        <w:numPr>
          <w:ilvl w:val="0"/>
          <w:numId w:val="3"/>
        </w:numPr>
        <w:rPr>
          <w:lang w:val="en-CH"/>
        </w:rPr>
      </w:pPr>
      <w:r w:rsidRPr="0075197B">
        <w:rPr>
          <w:lang w:val="en-CH"/>
        </w:rPr>
        <w:t>Regenerative agriculture and soil restoration;</w:t>
      </w:r>
    </w:p>
    <w:p w14:paraId="4DA48FEA" w14:textId="77777777" w:rsidR="0042319B" w:rsidRPr="0075197B" w:rsidRDefault="0042319B" w:rsidP="0075197B">
      <w:pPr>
        <w:pStyle w:val="ListParagraph"/>
        <w:numPr>
          <w:ilvl w:val="0"/>
          <w:numId w:val="3"/>
        </w:numPr>
        <w:rPr>
          <w:lang w:val="en-CH"/>
        </w:rPr>
      </w:pPr>
      <w:r w:rsidRPr="0075197B">
        <w:rPr>
          <w:lang w:val="en-CH"/>
        </w:rPr>
        <w:t>Circular economy approaches to water and waste management;</w:t>
      </w:r>
    </w:p>
    <w:p w14:paraId="3D31D12F" w14:textId="328074EC" w:rsidR="0042319B" w:rsidRPr="0075197B" w:rsidRDefault="0042319B" w:rsidP="0075197B">
      <w:pPr>
        <w:pStyle w:val="ListParagraph"/>
        <w:numPr>
          <w:ilvl w:val="0"/>
          <w:numId w:val="3"/>
        </w:numPr>
        <w:rPr>
          <w:lang w:val="en-CH"/>
        </w:rPr>
      </w:pPr>
      <w:r w:rsidRPr="0075197B">
        <w:rPr>
          <w:lang w:val="en-CH"/>
        </w:rPr>
        <w:t>Renewable energy and sustainable construction;</w:t>
      </w:r>
      <w:r w:rsidR="0075197B">
        <w:rPr>
          <w:lang w:val="en-CH"/>
        </w:rPr>
        <w:t xml:space="preserve"> and</w:t>
      </w:r>
    </w:p>
    <w:p w14:paraId="3B32D55C" w14:textId="77777777" w:rsidR="0042319B" w:rsidRPr="0075197B" w:rsidRDefault="0042319B" w:rsidP="0075197B">
      <w:pPr>
        <w:pStyle w:val="ListParagraph"/>
        <w:numPr>
          <w:ilvl w:val="0"/>
          <w:numId w:val="3"/>
        </w:numPr>
        <w:rPr>
          <w:lang w:val="en-CH"/>
        </w:rPr>
      </w:pPr>
      <w:r w:rsidRPr="0075197B">
        <w:rPr>
          <w:lang w:val="en-CH"/>
        </w:rPr>
        <w:t>Employment generation and rural livelihoods.</w:t>
      </w:r>
    </w:p>
    <w:p w14:paraId="283009BC" w14:textId="77777777" w:rsidR="0042319B" w:rsidRPr="0042319B" w:rsidRDefault="0042319B" w:rsidP="0042319B">
      <w:pPr>
        <w:rPr>
          <w:lang w:val="en-CH"/>
        </w:rPr>
      </w:pPr>
    </w:p>
    <w:p w14:paraId="0AF31D34" w14:textId="55F22692" w:rsidR="0042319B" w:rsidRDefault="0042319B" w:rsidP="0042319B">
      <w:pPr>
        <w:rPr>
          <w:lang w:val="en-CH"/>
        </w:rPr>
      </w:pPr>
      <w:r w:rsidRPr="0042319B">
        <w:rPr>
          <w:lang w:val="en-CH"/>
        </w:rPr>
        <w:t>The roundtable serves as an entry point into a broader process of investment pipeline development, policy alignment, and multi-stakeholder partnership building.</w:t>
      </w:r>
    </w:p>
    <w:p w14:paraId="3A6D87B6" w14:textId="77777777" w:rsidR="0042319B" w:rsidRDefault="0042319B" w:rsidP="0042319B">
      <w:pPr>
        <w:rPr>
          <w:lang w:val="en-CH"/>
        </w:rPr>
      </w:pPr>
    </w:p>
    <w:p w14:paraId="28140DB7" w14:textId="516E5522" w:rsidR="0042319B" w:rsidRPr="0042319B" w:rsidRDefault="0042319B" w:rsidP="0075197B">
      <w:pPr>
        <w:pStyle w:val="Heading2"/>
        <w:spacing w:before="0" w:after="0"/>
        <w:rPr>
          <w:lang w:val="en-CH"/>
        </w:rPr>
      </w:pPr>
      <w:r w:rsidRPr="0042319B">
        <w:rPr>
          <w:lang w:val="en-CH"/>
        </w:rPr>
        <w:t>5. Participants</w:t>
      </w:r>
    </w:p>
    <w:p w14:paraId="6A9B484A" w14:textId="6BF60329" w:rsidR="0042319B" w:rsidRPr="0042319B" w:rsidRDefault="0042319B" w:rsidP="0042319B">
      <w:pPr>
        <w:rPr>
          <w:lang w:val="en-CH"/>
        </w:rPr>
      </w:pPr>
      <w:r w:rsidRPr="0042319B">
        <w:rPr>
          <w:lang w:val="en-CH"/>
        </w:rPr>
        <w:t>The event will convene a select group of 20 to 25 participants, including:</w:t>
      </w:r>
    </w:p>
    <w:p w14:paraId="62311E91" w14:textId="77777777" w:rsidR="0042319B" w:rsidRPr="0075197B" w:rsidRDefault="0042319B" w:rsidP="0075197B">
      <w:pPr>
        <w:pStyle w:val="ListParagraph"/>
        <w:numPr>
          <w:ilvl w:val="0"/>
          <w:numId w:val="4"/>
        </w:numPr>
        <w:rPr>
          <w:lang w:val="en-CH"/>
        </w:rPr>
      </w:pPr>
      <w:r w:rsidRPr="0075197B">
        <w:rPr>
          <w:lang w:val="en-CH"/>
        </w:rPr>
        <w:t>Senior government representatives;</w:t>
      </w:r>
    </w:p>
    <w:p w14:paraId="116E78CB" w14:textId="77777777" w:rsidR="0042319B" w:rsidRPr="0075197B" w:rsidRDefault="0042319B" w:rsidP="0075197B">
      <w:pPr>
        <w:pStyle w:val="ListParagraph"/>
        <w:numPr>
          <w:ilvl w:val="0"/>
          <w:numId w:val="4"/>
        </w:numPr>
        <w:rPr>
          <w:lang w:val="en-CH"/>
        </w:rPr>
      </w:pPr>
      <w:r w:rsidRPr="0075197B">
        <w:rPr>
          <w:lang w:val="en-CH"/>
        </w:rPr>
        <w:t>International organisations and financial institutions;</w:t>
      </w:r>
    </w:p>
    <w:p w14:paraId="561CCE99" w14:textId="77777777" w:rsidR="0042319B" w:rsidRPr="0075197B" w:rsidRDefault="0042319B" w:rsidP="0075197B">
      <w:pPr>
        <w:pStyle w:val="ListParagraph"/>
        <w:numPr>
          <w:ilvl w:val="0"/>
          <w:numId w:val="4"/>
        </w:numPr>
        <w:rPr>
          <w:lang w:val="en-CH"/>
        </w:rPr>
      </w:pPr>
      <w:r w:rsidRPr="0075197B">
        <w:rPr>
          <w:lang w:val="en-CH"/>
        </w:rPr>
        <w:t>Academic and scientific experts;</w:t>
      </w:r>
    </w:p>
    <w:p w14:paraId="2A2EAF08" w14:textId="77777777" w:rsidR="0042319B" w:rsidRPr="0075197B" w:rsidRDefault="0042319B" w:rsidP="0075197B">
      <w:pPr>
        <w:pStyle w:val="ListParagraph"/>
        <w:numPr>
          <w:ilvl w:val="0"/>
          <w:numId w:val="4"/>
        </w:numPr>
        <w:rPr>
          <w:lang w:val="en-CH"/>
        </w:rPr>
      </w:pPr>
      <w:r w:rsidRPr="0075197B">
        <w:rPr>
          <w:lang w:val="en-CH"/>
        </w:rPr>
        <w:t>Private sector actors across the value chain;</w:t>
      </w:r>
    </w:p>
    <w:p w14:paraId="5BFD8B83" w14:textId="1090B82F" w:rsidR="0042319B" w:rsidRPr="0075197B" w:rsidRDefault="0042319B" w:rsidP="0075197B">
      <w:pPr>
        <w:pStyle w:val="ListParagraph"/>
        <w:numPr>
          <w:ilvl w:val="0"/>
          <w:numId w:val="4"/>
        </w:numPr>
        <w:rPr>
          <w:lang w:val="en-CH"/>
        </w:rPr>
      </w:pPr>
      <w:r w:rsidRPr="0075197B">
        <w:rPr>
          <w:lang w:val="en-CH"/>
        </w:rPr>
        <w:t>Specialists in regulation, digitalisation, and certification;</w:t>
      </w:r>
      <w:r w:rsidR="0075197B">
        <w:rPr>
          <w:lang w:val="en-CH"/>
        </w:rPr>
        <w:t xml:space="preserve"> and</w:t>
      </w:r>
    </w:p>
    <w:p w14:paraId="62A42F33" w14:textId="28DE16FA" w:rsidR="0042319B" w:rsidRPr="0075197B" w:rsidRDefault="0042319B" w:rsidP="0075197B">
      <w:pPr>
        <w:pStyle w:val="ListParagraph"/>
        <w:numPr>
          <w:ilvl w:val="0"/>
          <w:numId w:val="4"/>
        </w:numPr>
        <w:rPr>
          <w:lang w:val="en-CH"/>
        </w:rPr>
      </w:pPr>
      <w:r w:rsidRPr="0075197B">
        <w:rPr>
          <w:lang w:val="en-CH"/>
        </w:rPr>
        <w:t>Impact investors and development finance practitioners</w:t>
      </w:r>
    </w:p>
    <w:p w14:paraId="6ADEFB95" w14:textId="77777777" w:rsidR="0042319B" w:rsidRDefault="0042319B" w:rsidP="0042319B">
      <w:pPr>
        <w:rPr>
          <w:lang w:val="en-CH"/>
        </w:rPr>
      </w:pPr>
    </w:p>
    <w:p w14:paraId="5F18F8CE" w14:textId="1E147902" w:rsidR="0042319B" w:rsidRPr="0042319B" w:rsidRDefault="0042319B" w:rsidP="0075197B">
      <w:pPr>
        <w:pStyle w:val="Heading2"/>
        <w:spacing w:before="0" w:after="0"/>
        <w:rPr>
          <w:lang w:val="en-CH"/>
        </w:rPr>
      </w:pPr>
      <w:r w:rsidRPr="0042319B">
        <w:rPr>
          <w:lang w:val="en-CH"/>
        </w:rPr>
        <w:t>6. Expected Outcomes</w:t>
      </w:r>
    </w:p>
    <w:p w14:paraId="1D275F30" w14:textId="0F372CE3" w:rsidR="0042319B" w:rsidRPr="0042319B" w:rsidRDefault="0042319B" w:rsidP="0042319B">
      <w:pPr>
        <w:rPr>
          <w:lang w:val="en-CH"/>
        </w:rPr>
      </w:pPr>
      <w:r w:rsidRPr="0042319B">
        <w:rPr>
          <w:lang w:val="en-CH"/>
        </w:rPr>
        <w:t>The roundtable is expected to deliver:</w:t>
      </w:r>
    </w:p>
    <w:p w14:paraId="0A7B81B1" w14:textId="77777777" w:rsidR="0042319B" w:rsidRPr="0075197B" w:rsidRDefault="0042319B" w:rsidP="0075197B">
      <w:pPr>
        <w:pStyle w:val="ListParagraph"/>
        <w:numPr>
          <w:ilvl w:val="0"/>
          <w:numId w:val="5"/>
        </w:numPr>
        <w:rPr>
          <w:lang w:val="en-CH"/>
        </w:rPr>
      </w:pPr>
      <w:r w:rsidRPr="0075197B">
        <w:rPr>
          <w:lang w:val="en-CH"/>
        </w:rPr>
        <w:t>A shared understanding of the strategic relevance of industrial hemp for Sri Lanka;</w:t>
      </w:r>
    </w:p>
    <w:p w14:paraId="3F2B2131" w14:textId="77777777" w:rsidR="0042319B" w:rsidRPr="0075197B" w:rsidRDefault="0042319B" w:rsidP="0075197B">
      <w:pPr>
        <w:pStyle w:val="ListParagraph"/>
        <w:numPr>
          <w:ilvl w:val="0"/>
          <w:numId w:val="5"/>
        </w:numPr>
        <w:rPr>
          <w:lang w:val="en-CH"/>
        </w:rPr>
      </w:pPr>
      <w:r w:rsidRPr="0075197B">
        <w:rPr>
          <w:lang w:val="en-CH"/>
        </w:rPr>
        <w:t>Identification of priority policy and investment actions;</w:t>
      </w:r>
    </w:p>
    <w:p w14:paraId="74A52FFC" w14:textId="77777777" w:rsidR="0042319B" w:rsidRPr="0075197B" w:rsidRDefault="0042319B" w:rsidP="0075197B">
      <w:pPr>
        <w:pStyle w:val="ListParagraph"/>
        <w:numPr>
          <w:ilvl w:val="0"/>
          <w:numId w:val="5"/>
        </w:numPr>
        <w:rPr>
          <w:lang w:val="en-CH"/>
        </w:rPr>
      </w:pPr>
      <w:r w:rsidRPr="0075197B">
        <w:rPr>
          <w:lang w:val="en-CH"/>
        </w:rPr>
        <w:t>Initial alignment on enabling frameworks and partnerships;</w:t>
      </w:r>
    </w:p>
    <w:p w14:paraId="002ED8ED" w14:textId="6B65DFC5" w:rsidR="0042319B" w:rsidRPr="0075197B" w:rsidRDefault="0042319B" w:rsidP="0075197B">
      <w:pPr>
        <w:pStyle w:val="ListParagraph"/>
        <w:numPr>
          <w:ilvl w:val="0"/>
          <w:numId w:val="5"/>
        </w:numPr>
        <w:rPr>
          <w:lang w:val="en-CH"/>
        </w:rPr>
      </w:pPr>
      <w:r w:rsidRPr="0075197B">
        <w:rPr>
          <w:lang w:val="en-CH"/>
        </w:rPr>
        <w:t>A pathway toward investment-ready proposals;</w:t>
      </w:r>
      <w:r w:rsidR="0075197B">
        <w:rPr>
          <w:lang w:val="en-CH"/>
        </w:rPr>
        <w:t xml:space="preserve"> and</w:t>
      </w:r>
    </w:p>
    <w:p w14:paraId="7F764BE7" w14:textId="2044B1AC" w:rsidR="0042319B" w:rsidRPr="0075197B" w:rsidRDefault="0042319B" w:rsidP="0075197B">
      <w:pPr>
        <w:pStyle w:val="ListParagraph"/>
        <w:numPr>
          <w:ilvl w:val="0"/>
          <w:numId w:val="5"/>
        </w:numPr>
        <w:rPr>
          <w:lang w:val="en-CH"/>
        </w:rPr>
      </w:pPr>
      <w:r w:rsidRPr="0075197B">
        <w:rPr>
          <w:lang w:val="en-CH"/>
        </w:rPr>
        <w:t xml:space="preserve">Inputs into follow-on engagements, </w:t>
      </w:r>
      <w:r w:rsidRPr="0075197B">
        <w:rPr>
          <w:highlight w:val="yellow"/>
          <w:lang w:val="en-CH"/>
        </w:rPr>
        <w:t>including the public event on 23 April 2026</w:t>
      </w:r>
      <w:r w:rsidRPr="0075197B">
        <w:rPr>
          <w:lang w:val="en-CH"/>
        </w:rPr>
        <w:t>.</w:t>
      </w:r>
    </w:p>
    <w:p w14:paraId="4EC2919E" w14:textId="77777777" w:rsidR="0042319B" w:rsidRDefault="0042319B" w:rsidP="0042319B">
      <w:pPr>
        <w:rPr>
          <w:lang w:val="en-CH"/>
        </w:rPr>
      </w:pPr>
    </w:p>
    <w:p w14:paraId="67B80930" w14:textId="061CAA9B" w:rsidR="0042319B" w:rsidRPr="0042319B" w:rsidRDefault="0042319B" w:rsidP="0075197B">
      <w:pPr>
        <w:pStyle w:val="Heading2"/>
        <w:spacing w:after="0"/>
        <w:rPr>
          <w:lang w:val="en-CH"/>
        </w:rPr>
      </w:pPr>
      <w:r w:rsidRPr="0042319B">
        <w:rPr>
          <w:lang w:val="en-CH"/>
        </w:rPr>
        <w:lastRenderedPageBreak/>
        <w:t>7. The Role of the GRFC</w:t>
      </w:r>
    </w:p>
    <w:p w14:paraId="72AC53D4" w14:textId="12336A98" w:rsidR="0042319B" w:rsidRPr="0042319B" w:rsidRDefault="0042319B" w:rsidP="0042319B">
      <w:pPr>
        <w:rPr>
          <w:lang w:val="en-CH"/>
        </w:rPr>
      </w:pPr>
      <w:r w:rsidRPr="0042319B">
        <w:rPr>
          <w:lang w:val="en-CH"/>
        </w:rPr>
        <w:t>The GRFC serves as a neutral platform and systems enabler, working to:</w:t>
      </w:r>
    </w:p>
    <w:p w14:paraId="5818DD3B" w14:textId="77777777" w:rsidR="0042319B" w:rsidRPr="0075197B" w:rsidRDefault="0042319B" w:rsidP="0075197B">
      <w:pPr>
        <w:pStyle w:val="ListParagraph"/>
        <w:numPr>
          <w:ilvl w:val="0"/>
          <w:numId w:val="6"/>
        </w:numPr>
        <w:rPr>
          <w:lang w:val="en-CH"/>
        </w:rPr>
      </w:pPr>
      <w:r w:rsidRPr="0075197B">
        <w:rPr>
          <w:lang w:val="en-CH"/>
        </w:rPr>
        <w:t>Challenge outdated assumptions around risk and investment;</w:t>
      </w:r>
    </w:p>
    <w:p w14:paraId="4CEC0BF5" w14:textId="77777777" w:rsidR="0042319B" w:rsidRPr="0075197B" w:rsidRDefault="0042319B" w:rsidP="0075197B">
      <w:pPr>
        <w:pStyle w:val="ListParagraph"/>
        <w:numPr>
          <w:ilvl w:val="0"/>
          <w:numId w:val="6"/>
        </w:numPr>
        <w:rPr>
          <w:lang w:val="en-CH"/>
        </w:rPr>
      </w:pPr>
      <w:r w:rsidRPr="0075197B">
        <w:rPr>
          <w:lang w:val="en-CH"/>
        </w:rPr>
        <w:t>Support inclusive and scalable investment pipelines;</w:t>
      </w:r>
    </w:p>
    <w:p w14:paraId="16938295" w14:textId="5AAF72FC" w:rsidR="0042319B" w:rsidRPr="0075197B" w:rsidRDefault="0042319B" w:rsidP="0075197B">
      <w:pPr>
        <w:pStyle w:val="ListParagraph"/>
        <w:numPr>
          <w:ilvl w:val="0"/>
          <w:numId w:val="6"/>
        </w:numPr>
        <w:rPr>
          <w:lang w:val="en-CH"/>
        </w:rPr>
      </w:pPr>
      <w:r w:rsidRPr="0075197B">
        <w:rPr>
          <w:lang w:val="en-CH"/>
        </w:rPr>
        <w:t>Bridge policy ambition and financial implementation;</w:t>
      </w:r>
      <w:r w:rsidR="0075197B">
        <w:rPr>
          <w:lang w:val="en-CH"/>
        </w:rPr>
        <w:t xml:space="preserve"> and</w:t>
      </w:r>
    </w:p>
    <w:p w14:paraId="34055A08" w14:textId="77777777" w:rsidR="0042319B" w:rsidRPr="0075197B" w:rsidRDefault="0042319B" w:rsidP="0075197B">
      <w:pPr>
        <w:pStyle w:val="ListParagraph"/>
        <w:numPr>
          <w:ilvl w:val="0"/>
          <w:numId w:val="6"/>
        </w:numPr>
        <w:rPr>
          <w:lang w:val="en-CH"/>
        </w:rPr>
      </w:pPr>
      <w:r w:rsidRPr="0075197B">
        <w:rPr>
          <w:lang w:val="en-CH"/>
        </w:rPr>
        <w:t>Promote regenerative and systems-based approaches to development finance.</w:t>
      </w:r>
    </w:p>
    <w:p w14:paraId="4C5BBED2" w14:textId="77777777" w:rsidR="0042319B" w:rsidRPr="0042319B" w:rsidRDefault="0042319B" w:rsidP="0042319B">
      <w:pPr>
        <w:rPr>
          <w:lang w:val="en-CH"/>
        </w:rPr>
      </w:pPr>
    </w:p>
    <w:p w14:paraId="0D52C40D" w14:textId="76B456ED" w:rsidR="0042319B" w:rsidRDefault="0042319B" w:rsidP="0042319B">
      <w:pPr>
        <w:rPr>
          <w:lang w:val="en-CH"/>
        </w:rPr>
      </w:pPr>
      <w:r w:rsidRPr="0042319B">
        <w:rPr>
          <w:lang w:val="en-CH"/>
        </w:rPr>
        <w:t>Sri Lanka offers a timely opportunity to demonstrate how these approaches can translate into practical, scalable outcomes.</w:t>
      </w:r>
    </w:p>
    <w:p w14:paraId="2FB67DAF" w14:textId="77777777" w:rsidR="0042319B" w:rsidRDefault="0042319B" w:rsidP="0042319B">
      <w:pPr>
        <w:rPr>
          <w:lang w:val="en-CH"/>
        </w:rPr>
      </w:pPr>
    </w:p>
    <w:p w14:paraId="697D7C59" w14:textId="1340E139" w:rsidR="0042319B" w:rsidRPr="0042319B" w:rsidRDefault="0042319B" w:rsidP="0075197B">
      <w:pPr>
        <w:pStyle w:val="Heading2"/>
        <w:spacing w:before="0" w:after="0"/>
        <w:rPr>
          <w:lang w:val="en-CH"/>
        </w:rPr>
      </w:pPr>
      <w:r w:rsidRPr="0042319B">
        <w:rPr>
          <w:lang w:val="en-CH"/>
        </w:rPr>
        <w:t>8. Conclusion</w:t>
      </w:r>
    </w:p>
    <w:p w14:paraId="0E184D1C" w14:textId="77777777" w:rsidR="0042319B" w:rsidRPr="0042319B" w:rsidRDefault="0042319B" w:rsidP="0042319B">
      <w:pPr>
        <w:rPr>
          <w:lang w:val="en-CH"/>
        </w:rPr>
      </w:pPr>
      <w:r w:rsidRPr="0042319B">
        <w:rPr>
          <w:lang w:val="en-CH"/>
        </w:rPr>
        <w:t>At a time of converging crises and opportunities, this roundtable seeks to contribute to a shift in both mindset and practice. By focusing on industrial hemp as a practical entry point, it aims to demonstrate how integrated, systems-based approaches to finance and development can unlock new pathways for resilience, prosperity, and sustainability.</w:t>
      </w:r>
    </w:p>
    <w:p w14:paraId="5552D86D" w14:textId="77777777" w:rsidR="0042319B" w:rsidRPr="0042319B" w:rsidRDefault="0042319B" w:rsidP="0042319B">
      <w:pPr>
        <w:rPr>
          <w:lang w:val="en-CH"/>
        </w:rPr>
      </w:pPr>
    </w:p>
    <w:p w14:paraId="3827C663" w14:textId="6645C2B5" w:rsidR="0042319B" w:rsidRDefault="0042319B" w:rsidP="0042319B">
      <w:pPr>
        <w:rPr>
          <w:lang w:val="en-CH"/>
        </w:rPr>
      </w:pPr>
      <w:r w:rsidRPr="0042319B">
        <w:rPr>
          <w:lang w:val="en-CH"/>
        </w:rPr>
        <w:t>The event reflects a broader commitment to rethinking finance not as an end in itself, but as a means to enable regenerative and inclusive futures.</w:t>
      </w:r>
    </w:p>
    <w:p w14:paraId="77D14402" w14:textId="3B0D05C0" w:rsidR="0075197B" w:rsidRDefault="0075197B">
      <w:pPr>
        <w:rPr>
          <w:lang w:val="en-CH"/>
        </w:rPr>
      </w:pPr>
      <w:r>
        <w:rPr>
          <w:lang w:val="en-CH"/>
        </w:rPr>
        <w:br w:type="page"/>
      </w:r>
    </w:p>
    <w:p w14:paraId="69A2D35A" w14:textId="7EC585C2" w:rsidR="00FA0804" w:rsidRPr="00584E4F" w:rsidRDefault="00584E4F" w:rsidP="00FA0804">
      <w:pPr>
        <w:pStyle w:val="Heading2"/>
        <w:spacing w:before="0" w:after="0"/>
        <w:rPr>
          <w:lang w:val="en-CH"/>
        </w:rPr>
      </w:pPr>
      <w:r w:rsidRPr="00584E4F">
        <w:rPr>
          <w:lang w:val="en-CH"/>
        </w:rPr>
        <w:lastRenderedPageBreak/>
        <w:t>Annex: Programme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55"/>
        <w:gridCol w:w="4455"/>
        <w:gridCol w:w="3624"/>
      </w:tblGrid>
      <w:tr w:rsidR="0075197B" w:rsidRPr="0075197B" w14:paraId="47AD26C2" w14:textId="77777777" w:rsidTr="00B80E69">
        <w:tc>
          <w:tcPr>
            <w:tcW w:w="1555" w:type="dxa"/>
          </w:tcPr>
          <w:p w14:paraId="306B5DBE" w14:textId="77777777" w:rsidR="0075197B" w:rsidRPr="00FA0804" w:rsidRDefault="0075197B" w:rsidP="00FA0804">
            <w:pPr>
              <w:jc w:val="center"/>
              <w:rPr>
                <w:b/>
                <w:bCs/>
                <w:lang w:val="en-CH"/>
              </w:rPr>
            </w:pPr>
            <w:r w:rsidRPr="00FA0804">
              <w:rPr>
                <w:b/>
                <w:bCs/>
                <w:lang w:val="en-CH"/>
              </w:rPr>
              <w:t>Time</w:t>
            </w:r>
          </w:p>
        </w:tc>
        <w:tc>
          <w:tcPr>
            <w:tcW w:w="4455" w:type="dxa"/>
          </w:tcPr>
          <w:p w14:paraId="21F805B0" w14:textId="77777777" w:rsidR="0075197B" w:rsidRPr="00FA0804" w:rsidRDefault="0075197B" w:rsidP="00FA0804">
            <w:pPr>
              <w:jc w:val="center"/>
              <w:rPr>
                <w:b/>
                <w:bCs/>
                <w:lang w:val="en-CH"/>
              </w:rPr>
            </w:pPr>
            <w:r w:rsidRPr="00FA0804">
              <w:rPr>
                <w:b/>
                <w:bCs/>
                <w:lang w:val="en-CH"/>
              </w:rPr>
              <w:t>Activity</w:t>
            </w:r>
          </w:p>
        </w:tc>
        <w:tc>
          <w:tcPr>
            <w:tcW w:w="3624" w:type="dxa"/>
          </w:tcPr>
          <w:p w14:paraId="42FEE53D" w14:textId="77777777" w:rsidR="0075197B" w:rsidRPr="00FA0804" w:rsidRDefault="0075197B" w:rsidP="00FA0804">
            <w:pPr>
              <w:jc w:val="center"/>
              <w:rPr>
                <w:b/>
                <w:bCs/>
                <w:lang w:val="en-CH"/>
              </w:rPr>
            </w:pPr>
            <w:r w:rsidRPr="00FA0804">
              <w:rPr>
                <w:b/>
                <w:bCs/>
                <w:lang w:val="en-CH"/>
              </w:rPr>
              <w:t>Presenter</w:t>
            </w:r>
          </w:p>
        </w:tc>
      </w:tr>
      <w:tr w:rsidR="0075197B" w:rsidRPr="0075197B" w14:paraId="5984231B" w14:textId="77777777" w:rsidTr="00B80E69">
        <w:tc>
          <w:tcPr>
            <w:tcW w:w="1555" w:type="dxa"/>
          </w:tcPr>
          <w:p w14:paraId="58B4B2E6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09:00</w:t>
            </w:r>
          </w:p>
        </w:tc>
        <w:tc>
          <w:tcPr>
            <w:tcW w:w="4455" w:type="dxa"/>
          </w:tcPr>
          <w:p w14:paraId="273FF3E7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Registration</w:t>
            </w:r>
          </w:p>
        </w:tc>
        <w:tc>
          <w:tcPr>
            <w:tcW w:w="3624" w:type="dxa"/>
          </w:tcPr>
          <w:p w14:paraId="5B7CB04B" w14:textId="77777777" w:rsidR="0075197B" w:rsidRPr="0075197B" w:rsidRDefault="0075197B" w:rsidP="008C2EB6">
            <w:pPr>
              <w:rPr>
                <w:lang w:val="en-CH"/>
              </w:rPr>
            </w:pPr>
          </w:p>
        </w:tc>
      </w:tr>
      <w:tr w:rsidR="0075197B" w:rsidRPr="0075197B" w14:paraId="00B295AB" w14:textId="77777777" w:rsidTr="00B80E69">
        <w:tc>
          <w:tcPr>
            <w:tcW w:w="1555" w:type="dxa"/>
          </w:tcPr>
          <w:p w14:paraId="3D43B84C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09:30</w:t>
            </w:r>
          </w:p>
        </w:tc>
        <w:tc>
          <w:tcPr>
            <w:tcW w:w="4455" w:type="dxa"/>
          </w:tcPr>
          <w:p w14:paraId="6A020E41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Welcome (GRFC and Incitare Sri Lanka)</w:t>
            </w:r>
          </w:p>
        </w:tc>
        <w:tc>
          <w:tcPr>
            <w:tcW w:w="3624" w:type="dxa"/>
          </w:tcPr>
          <w:p w14:paraId="6BE9BADD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Beris Gwynne; Cheryl Arndt</w:t>
            </w:r>
          </w:p>
        </w:tc>
      </w:tr>
      <w:tr w:rsidR="0075197B" w:rsidRPr="0075197B" w14:paraId="5D6F9E10" w14:textId="77777777" w:rsidTr="00B80E69">
        <w:tc>
          <w:tcPr>
            <w:tcW w:w="1555" w:type="dxa"/>
          </w:tcPr>
          <w:p w14:paraId="5E246B74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09:35</w:t>
            </w:r>
          </w:p>
        </w:tc>
        <w:tc>
          <w:tcPr>
            <w:tcW w:w="4455" w:type="dxa"/>
          </w:tcPr>
          <w:p w14:paraId="363B3309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Welcome (UNDP and Government of Sri Lanka)</w:t>
            </w:r>
          </w:p>
        </w:tc>
        <w:tc>
          <w:tcPr>
            <w:tcW w:w="3624" w:type="dxa"/>
          </w:tcPr>
          <w:p w14:paraId="1821A2CF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Deputy Minister; Ms Azusa</w:t>
            </w:r>
          </w:p>
        </w:tc>
      </w:tr>
      <w:tr w:rsidR="0075197B" w:rsidRPr="0075197B" w14:paraId="200E8907" w14:textId="77777777" w:rsidTr="00B80E69">
        <w:tc>
          <w:tcPr>
            <w:tcW w:w="1555" w:type="dxa"/>
          </w:tcPr>
          <w:p w14:paraId="1E0FB4DD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09:45</w:t>
            </w:r>
          </w:p>
        </w:tc>
        <w:tc>
          <w:tcPr>
            <w:tcW w:w="4455" w:type="dxa"/>
          </w:tcPr>
          <w:p w14:paraId="5B9A4F16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Keynote Address</w:t>
            </w:r>
          </w:p>
        </w:tc>
        <w:tc>
          <w:tcPr>
            <w:tcW w:w="3624" w:type="dxa"/>
          </w:tcPr>
          <w:p w14:paraId="49D8DFCD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Marco Fugazza, Chief Editor, Commodities at a Glance: Special Issue on Industrial Hemp, UNCTAD</w:t>
            </w:r>
          </w:p>
        </w:tc>
      </w:tr>
      <w:tr w:rsidR="0075197B" w:rsidRPr="0075197B" w14:paraId="3D456C7F" w14:textId="77777777" w:rsidTr="00B80E69">
        <w:tc>
          <w:tcPr>
            <w:tcW w:w="1555" w:type="dxa"/>
          </w:tcPr>
          <w:p w14:paraId="68AB84F1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10:05</w:t>
            </w:r>
          </w:p>
        </w:tc>
        <w:tc>
          <w:tcPr>
            <w:tcW w:w="4455" w:type="dxa"/>
          </w:tcPr>
          <w:p w14:paraId="1718029F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First Panel (10 minutes each)</w:t>
            </w:r>
          </w:p>
        </w:tc>
        <w:tc>
          <w:tcPr>
            <w:tcW w:w="3624" w:type="dxa"/>
          </w:tcPr>
          <w:p w14:paraId="0F2944EA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John Wightman; Steve Sarich; Philip Cormie; Charles Kovess</w:t>
            </w:r>
          </w:p>
        </w:tc>
      </w:tr>
      <w:tr w:rsidR="0075197B" w:rsidRPr="0075197B" w14:paraId="627EF4E4" w14:textId="77777777" w:rsidTr="00B80E69">
        <w:tc>
          <w:tcPr>
            <w:tcW w:w="1555" w:type="dxa"/>
          </w:tcPr>
          <w:p w14:paraId="2B60136A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10:45</w:t>
            </w:r>
          </w:p>
        </w:tc>
        <w:tc>
          <w:tcPr>
            <w:tcW w:w="4455" w:type="dxa"/>
          </w:tcPr>
          <w:p w14:paraId="1FD583BB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Capturing Key Elements for Discussion</w:t>
            </w:r>
          </w:p>
        </w:tc>
        <w:tc>
          <w:tcPr>
            <w:tcW w:w="3624" w:type="dxa"/>
          </w:tcPr>
          <w:p w14:paraId="5D2B5594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Beris Gwynne</w:t>
            </w:r>
          </w:p>
        </w:tc>
      </w:tr>
      <w:tr w:rsidR="0075197B" w:rsidRPr="0075197B" w14:paraId="41708AC2" w14:textId="77777777" w:rsidTr="00B80E69">
        <w:tc>
          <w:tcPr>
            <w:tcW w:w="1555" w:type="dxa"/>
          </w:tcPr>
          <w:p w14:paraId="3B85BEC6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10:50</w:t>
            </w:r>
          </w:p>
        </w:tc>
        <w:tc>
          <w:tcPr>
            <w:tcW w:w="4455" w:type="dxa"/>
          </w:tcPr>
          <w:p w14:paraId="14F473A5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Morning Tea</w:t>
            </w:r>
          </w:p>
        </w:tc>
        <w:tc>
          <w:tcPr>
            <w:tcW w:w="3624" w:type="dxa"/>
          </w:tcPr>
          <w:p w14:paraId="01053FE3" w14:textId="77777777" w:rsidR="0075197B" w:rsidRPr="0075197B" w:rsidRDefault="0075197B" w:rsidP="008C2EB6">
            <w:pPr>
              <w:rPr>
                <w:lang w:val="en-CH"/>
              </w:rPr>
            </w:pPr>
          </w:p>
        </w:tc>
      </w:tr>
      <w:tr w:rsidR="0075197B" w:rsidRPr="0075197B" w14:paraId="1A995606" w14:textId="77777777" w:rsidTr="00B80E69">
        <w:tc>
          <w:tcPr>
            <w:tcW w:w="1555" w:type="dxa"/>
          </w:tcPr>
          <w:p w14:paraId="1587FD29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11:00</w:t>
            </w:r>
          </w:p>
        </w:tc>
        <w:tc>
          <w:tcPr>
            <w:tcW w:w="4455" w:type="dxa"/>
          </w:tcPr>
          <w:p w14:paraId="1D07D42E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Second Panel (10 minutes each)</w:t>
            </w:r>
          </w:p>
        </w:tc>
        <w:tc>
          <w:tcPr>
            <w:tcW w:w="3624" w:type="dxa"/>
          </w:tcPr>
          <w:p w14:paraId="5063AAB9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Ramon Granados; Kim Russell; Lawrence Kirton / Steve Wormald; Antoine Tane; Dennis McMahon</w:t>
            </w:r>
          </w:p>
        </w:tc>
      </w:tr>
      <w:tr w:rsidR="0075197B" w:rsidRPr="0075197B" w14:paraId="2665814B" w14:textId="77777777" w:rsidTr="00B80E69">
        <w:tc>
          <w:tcPr>
            <w:tcW w:w="1555" w:type="dxa"/>
          </w:tcPr>
          <w:p w14:paraId="0785DD5B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11:50</w:t>
            </w:r>
          </w:p>
        </w:tc>
        <w:tc>
          <w:tcPr>
            <w:tcW w:w="4455" w:type="dxa"/>
          </w:tcPr>
          <w:p w14:paraId="35898FE0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Plenary Discussion</w:t>
            </w:r>
          </w:p>
        </w:tc>
        <w:tc>
          <w:tcPr>
            <w:tcW w:w="3624" w:type="dxa"/>
          </w:tcPr>
          <w:p w14:paraId="79615778" w14:textId="77777777" w:rsidR="0075197B" w:rsidRPr="0075197B" w:rsidRDefault="0075197B" w:rsidP="008C2EB6">
            <w:pPr>
              <w:rPr>
                <w:lang w:val="en-CH"/>
              </w:rPr>
            </w:pPr>
          </w:p>
        </w:tc>
      </w:tr>
      <w:tr w:rsidR="0075197B" w:rsidRPr="0075197B" w14:paraId="4A1F0C58" w14:textId="77777777" w:rsidTr="00B80E69">
        <w:tc>
          <w:tcPr>
            <w:tcW w:w="1555" w:type="dxa"/>
          </w:tcPr>
          <w:p w14:paraId="1F1DE6E6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12:20</w:t>
            </w:r>
          </w:p>
        </w:tc>
        <w:tc>
          <w:tcPr>
            <w:tcW w:w="4455" w:type="dxa"/>
          </w:tcPr>
          <w:p w14:paraId="592FD86D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Summing Up and Next Steps</w:t>
            </w:r>
          </w:p>
        </w:tc>
        <w:tc>
          <w:tcPr>
            <w:tcW w:w="3624" w:type="dxa"/>
          </w:tcPr>
          <w:p w14:paraId="1B8EA365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Beris Gwynne; Cheryl Arndt</w:t>
            </w:r>
          </w:p>
        </w:tc>
      </w:tr>
      <w:tr w:rsidR="0075197B" w:rsidRPr="0075197B" w14:paraId="1BF11ABF" w14:textId="77777777" w:rsidTr="00B80E69">
        <w:tc>
          <w:tcPr>
            <w:tcW w:w="1555" w:type="dxa"/>
          </w:tcPr>
          <w:p w14:paraId="24295DB8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12:30</w:t>
            </w:r>
          </w:p>
        </w:tc>
        <w:tc>
          <w:tcPr>
            <w:tcW w:w="4455" w:type="dxa"/>
          </w:tcPr>
          <w:p w14:paraId="61FD15D6" w14:textId="77777777" w:rsidR="0075197B" w:rsidRPr="0075197B" w:rsidRDefault="0075197B" w:rsidP="008C2EB6">
            <w:pPr>
              <w:rPr>
                <w:lang w:val="en-CH"/>
              </w:rPr>
            </w:pPr>
            <w:r w:rsidRPr="0075197B">
              <w:rPr>
                <w:lang w:val="en-CH"/>
              </w:rPr>
              <w:t>Close</w:t>
            </w:r>
          </w:p>
        </w:tc>
        <w:tc>
          <w:tcPr>
            <w:tcW w:w="3624" w:type="dxa"/>
          </w:tcPr>
          <w:p w14:paraId="453BA336" w14:textId="77777777" w:rsidR="0075197B" w:rsidRPr="0075197B" w:rsidRDefault="0075197B" w:rsidP="008C2EB6">
            <w:pPr>
              <w:rPr>
                <w:lang w:val="en-CH"/>
              </w:rPr>
            </w:pPr>
          </w:p>
        </w:tc>
      </w:tr>
    </w:tbl>
    <w:p w14:paraId="7CBD42FD" w14:textId="77777777" w:rsidR="00B80E69" w:rsidRDefault="00B80E69" w:rsidP="00584E4F">
      <w:pPr>
        <w:rPr>
          <w:lang w:val="en-CH"/>
        </w:rPr>
      </w:pPr>
    </w:p>
    <w:p w14:paraId="3DE60613" w14:textId="3AC12A8C" w:rsidR="00584E4F" w:rsidRPr="00584E4F" w:rsidRDefault="00584E4F" w:rsidP="00584E4F">
      <w:pPr>
        <w:rPr>
          <w:lang w:val="en-CH"/>
        </w:rPr>
      </w:pPr>
      <w:r w:rsidRPr="00584E4F">
        <w:rPr>
          <w:lang w:val="en-CH"/>
        </w:rPr>
        <w:t>F</w:t>
      </w:r>
      <w:r w:rsidR="00B80E69">
        <w:rPr>
          <w:lang w:val="en-CH"/>
        </w:rPr>
        <w:t>or f</w:t>
      </w:r>
      <w:r w:rsidRPr="00584E4F">
        <w:rPr>
          <w:lang w:val="en-CH"/>
        </w:rPr>
        <w:t>urther Information</w:t>
      </w:r>
      <w:r w:rsidR="00B80E69">
        <w:rPr>
          <w:lang w:val="en-CH"/>
        </w:rPr>
        <w:t>, contact:</w:t>
      </w:r>
    </w:p>
    <w:p w14:paraId="3C83D4FA" w14:textId="01B204CB" w:rsidR="00584E4F" w:rsidRPr="00584E4F" w:rsidRDefault="00B80E69" w:rsidP="00584E4F">
      <w:pPr>
        <w:rPr>
          <w:lang w:val="en-CH"/>
        </w:rPr>
      </w:pPr>
      <w:hyperlink r:id="rId8" w:history="1">
        <w:r w:rsidR="00584E4F" w:rsidRPr="00B80E69">
          <w:rPr>
            <w:rStyle w:val="Hyperlink"/>
            <w:lang w:val="en-CH"/>
          </w:rPr>
          <w:t xml:space="preserve">Beris Gwynne, Chair, </w:t>
        </w:r>
        <w:r w:rsidRPr="00B80E69">
          <w:rPr>
            <w:rStyle w:val="Hyperlink"/>
            <w:lang w:val="en-CH"/>
          </w:rPr>
          <w:t xml:space="preserve">the </w:t>
        </w:r>
        <w:r w:rsidR="00584E4F" w:rsidRPr="00B80E69">
          <w:rPr>
            <w:rStyle w:val="Hyperlink"/>
            <w:lang w:val="en-CH"/>
          </w:rPr>
          <w:t>Global Rethinking Finance Collaborative</w:t>
        </w:r>
      </w:hyperlink>
    </w:p>
    <w:p w14:paraId="38424B73" w14:textId="6808174A" w:rsidR="0042319B" w:rsidRPr="0042319B" w:rsidRDefault="00B80E69" w:rsidP="00584E4F">
      <w:pPr>
        <w:rPr>
          <w:lang w:val="en-CH"/>
        </w:rPr>
      </w:pPr>
      <w:hyperlink r:id="rId9" w:history="1">
        <w:r w:rsidR="00584E4F" w:rsidRPr="00B80E69">
          <w:rPr>
            <w:rStyle w:val="Hyperlink"/>
            <w:lang w:val="en-CH"/>
          </w:rPr>
          <w:t>Cheryl Arndt, Managing Director, Incitare Sri Lanka (Pvt) Ltd.</w:t>
        </w:r>
      </w:hyperlink>
    </w:p>
    <w:sectPr w:rsidR="0042319B" w:rsidRPr="00423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40BD"/>
    <w:multiLevelType w:val="hybridMultilevel"/>
    <w:tmpl w:val="04965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3222"/>
    <w:multiLevelType w:val="hybridMultilevel"/>
    <w:tmpl w:val="DAFC9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60F9D"/>
    <w:multiLevelType w:val="hybridMultilevel"/>
    <w:tmpl w:val="51A0E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4149E"/>
    <w:multiLevelType w:val="hybridMultilevel"/>
    <w:tmpl w:val="4ADEB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85A91"/>
    <w:multiLevelType w:val="hybridMultilevel"/>
    <w:tmpl w:val="46C8C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E5BFC"/>
    <w:multiLevelType w:val="hybridMultilevel"/>
    <w:tmpl w:val="412CA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378061">
    <w:abstractNumId w:val="3"/>
  </w:num>
  <w:num w:numId="2" w16cid:durableId="427164294">
    <w:abstractNumId w:val="4"/>
  </w:num>
  <w:num w:numId="3" w16cid:durableId="622536435">
    <w:abstractNumId w:val="2"/>
  </w:num>
  <w:num w:numId="4" w16cid:durableId="1755055547">
    <w:abstractNumId w:val="5"/>
  </w:num>
  <w:num w:numId="5" w16cid:durableId="187180681">
    <w:abstractNumId w:val="1"/>
  </w:num>
  <w:num w:numId="6" w16cid:durableId="184701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9B"/>
    <w:rsid w:val="00007F8D"/>
    <w:rsid w:val="000A4F85"/>
    <w:rsid w:val="0018493C"/>
    <w:rsid w:val="001C3F74"/>
    <w:rsid w:val="00222DA1"/>
    <w:rsid w:val="00235FCD"/>
    <w:rsid w:val="002574F2"/>
    <w:rsid w:val="003E0690"/>
    <w:rsid w:val="0042319B"/>
    <w:rsid w:val="00584E4F"/>
    <w:rsid w:val="005C7164"/>
    <w:rsid w:val="00660EA0"/>
    <w:rsid w:val="0075197B"/>
    <w:rsid w:val="00891B2F"/>
    <w:rsid w:val="008A0BB5"/>
    <w:rsid w:val="00930299"/>
    <w:rsid w:val="00986D84"/>
    <w:rsid w:val="009D1B3D"/>
    <w:rsid w:val="009F337E"/>
    <w:rsid w:val="00AC4C77"/>
    <w:rsid w:val="00B54760"/>
    <w:rsid w:val="00B55C2B"/>
    <w:rsid w:val="00B80E69"/>
    <w:rsid w:val="00B92CD8"/>
    <w:rsid w:val="00BF7EDF"/>
    <w:rsid w:val="00C07602"/>
    <w:rsid w:val="00C8045D"/>
    <w:rsid w:val="00CB0B94"/>
    <w:rsid w:val="00CF54F8"/>
    <w:rsid w:val="00D2411D"/>
    <w:rsid w:val="00DC32C1"/>
    <w:rsid w:val="00E04F3B"/>
    <w:rsid w:val="00E07F49"/>
    <w:rsid w:val="00EF400F"/>
    <w:rsid w:val="00F15BD2"/>
    <w:rsid w:val="00FA0804"/>
    <w:rsid w:val="00FB03AC"/>
    <w:rsid w:val="00FC5BC2"/>
    <w:rsid w:val="00FD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12836"/>
  <w15:chartTrackingRefBased/>
  <w15:docId w15:val="{AF9CA66C-2C7A-E041-913B-631EC0EC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color w:val="000000" w:themeColor="text1"/>
        <w:kern w:val="2"/>
        <w:sz w:val="22"/>
        <w:szCs w:val="22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1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1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1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1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1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1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1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1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231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19B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19B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19B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19B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19B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19B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19B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2319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19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1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1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231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19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23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19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231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1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0E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is.gwynne@incitare-internationa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fc.solu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-ilibrary.org/content/papers/10.18356/27082822-11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ctad.org/publication/commodities-glance-special-issue-industrial-hem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eryl.arndt@incitare-internatio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Aliyah Esmail</dc:creator>
  <cp:keywords/>
  <dc:description/>
  <cp:lastModifiedBy>Aliyah Esmail</cp:lastModifiedBy>
  <cp:revision>2</cp:revision>
  <dcterms:created xsi:type="dcterms:W3CDTF">2026-04-09T12:37:00Z</dcterms:created>
  <dcterms:modified xsi:type="dcterms:W3CDTF">2026-04-09T14:19:00Z</dcterms:modified>
</cp:coreProperties>
</file>